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47BC4" w14:textId="6076D6EF" w:rsidR="00A730D5" w:rsidRDefault="00BC3E09" w:rsidP="00BC3E09">
      <w:pPr>
        <w:jc w:val="both"/>
      </w:pPr>
      <w:r>
        <w:fldChar w:fldCharType="begin"/>
      </w:r>
      <w:r>
        <w:instrText>HYPERLINK "</w:instrText>
      </w:r>
      <w:r w:rsidRPr="00BC3E09">
        <w:instrText>https://www.tse.go.cr/pdf/normativa/codigoelectoral.pdf</w:instrText>
      </w:r>
      <w:r>
        <w:instrText>"</w:instrText>
      </w:r>
      <w:r>
        <w:fldChar w:fldCharType="separate"/>
      </w:r>
      <w:r w:rsidRPr="00573757">
        <w:rPr>
          <w:rStyle w:val="Hipervnculo"/>
        </w:rPr>
        <w:t>https://www.tse.go.cr/pdf/normativa/codigoelectoral.pdf</w:t>
      </w:r>
      <w:r>
        <w:fldChar w:fldCharType="end"/>
      </w:r>
    </w:p>
    <w:p w14:paraId="49FC7D1B" w14:textId="0DFF2E66" w:rsidR="00BC3E09" w:rsidRDefault="00BC3E09" w:rsidP="00BC3E09">
      <w:pPr>
        <w:jc w:val="both"/>
      </w:pPr>
      <w:r>
        <w:t xml:space="preserve"> </w:t>
      </w:r>
    </w:p>
    <w:p w14:paraId="7180723A" w14:textId="77777777" w:rsidR="00E450E1" w:rsidRPr="00E450E1" w:rsidRDefault="00E450E1" w:rsidP="00E450E1">
      <w:pPr>
        <w:jc w:val="center"/>
      </w:pPr>
      <w:r w:rsidRPr="00E450E1">
        <w:t>CAPÍTULO II</w:t>
      </w:r>
    </w:p>
    <w:p w14:paraId="0C94DA20" w14:textId="77777777" w:rsidR="00E450E1" w:rsidRPr="00E450E1" w:rsidRDefault="00E450E1" w:rsidP="00E450E1">
      <w:pPr>
        <w:jc w:val="center"/>
      </w:pPr>
      <w:r w:rsidRPr="00E450E1">
        <w:t>FALTAS ELECTORALES</w:t>
      </w:r>
    </w:p>
    <w:p w14:paraId="4580A9C2" w14:textId="77777777" w:rsidR="00E450E1" w:rsidRPr="00E450E1" w:rsidRDefault="00E450E1" w:rsidP="00E450E1">
      <w:pPr>
        <w:jc w:val="both"/>
      </w:pPr>
    </w:p>
    <w:p w14:paraId="58114300" w14:textId="77777777" w:rsidR="00E450E1" w:rsidRPr="00E450E1" w:rsidRDefault="00E450E1" w:rsidP="00E450E1">
      <w:pPr>
        <w:jc w:val="both"/>
      </w:pPr>
      <w:r w:rsidRPr="00E450E1">
        <w:t>ARTÍCULO 286.- Multas sobre publicación extemporánea de propaganda y encuestas. Se impondrá multa de dos a diez salarios base:</w:t>
      </w:r>
    </w:p>
    <w:p w14:paraId="685BCF22" w14:textId="77777777" w:rsidR="00E450E1" w:rsidRPr="00E450E1" w:rsidRDefault="00E450E1" w:rsidP="00E450E1">
      <w:pPr>
        <w:jc w:val="both"/>
      </w:pPr>
      <w:r w:rsidRPr="00E450E1">
        <w:t xml:space="preserve">a) Al director(a) o el encargado(a) del medio de comunicación que, durante los tres días inmediatos anteriores a las elecciones o el propio día en que estas se celebren, por acción u omisión permita la difusión o la publicación, total o parcial, por cualquier medio </w:t>
      </w:r>
      <w:proofErr w:type="gramStart"/>
      <w:r w:rsidRPr="00E450E1">
        <w:t>o</w:t>
      </w:r>
      <w:proofErr w:type="gramEnd"/>
      <w:r w:rsidRPr="00E450E1">
        <w:t xml:space="preserve"> de cualquier manera, de los resultados de sondeos o encuestas de opinión relativas a los procesos eleccionarios.</w:t>
      </w:r>
    </w:p>
    <w:p w14:paraId="6648607E" w14:textId="77777777" w:rsidR="00E450E1" w:rsidRPr="00E450E1" w:rsidRDefault="00E450E1" w:rsidP="00E450E1">
      <w:pPr>
        <w:jc w:val="both"/>
      </w:pPr>
      <w:r w:rsidRPr="00E450E1">
        <w:t xml:space="preserve">b) Al director(a) o el encargado(a) del medio de comunicación que autorice la difusión o la publicación, total o parcial, por cualquier medio </w:t>
      </w:r>
      <w:proofErr w:type="gramStart"/>
      <w:r w:rsidRPr="00E450E1">
        <w:t>o</w:t>
      </w:r>
      <w:proofErr w:type="gramEnd"/>
      <w:r w:rsidRPr="00E450E1">
        <w:t xml:space="preserve"> de cualquier manera, de los resultados de sondeos o encuestas de opinión relativas a procesos eleccionarios; realizados por personas físicas o jurídicas no inscritas en el TSE.</w:t>
      </w:r>
    </w:p>
    <w:p w14:paraId="79BB186B" w14:textId="77777777" w:rsidR="00E450E1" w:rsidRPr="00E450E1" w:rsidRDefault="00E450E1" w:rsidP="00E450E1">
      <w:pPr>
        <w:jc w:val="both"/>
      </w:pPr>
      <w:r w:rsidRPr="00E450E1">
        <w:t>c) Al director(a) o el encargado(a) del medio de comunicación que autorice la difusión o la publicación, total o parcial, por cualquier medio o de cualquier manera, de propaganda electoral durante los tres días inmediatos anteriores a las elecciones, el propio día en que estas se celebren, en el período del dieciséis de diciembre y el primero de enero, ambos días inclusive, inmediatamente anteriores a las elecciones o el jueves y viernes santo, cuando se trate de elecciones internas de los partidos políticos.</w:t>
      </w:r>
    </w:p>
    <w:p w14:paraId="19A4B337" w14:textId="77777777" w:rsidR="00E450E1" w:rsidRPr="00E450E1" w:rsidRDefault="00E450E1" w:rsidP="00E450E1">
      <w:pPr>
        <w:jc w:val="both"/>
      </w:pPr>
    </w:p>
    <w:p w14:paraId="185E6A81" w14:textId="77777777" w:rsidR="00E450E1" w:rsidRPr="00E450E1" w:rsidRDefault="00E450E1" w:rsidP="00E450E1">
      <w:pPr>
        <w:jc w:val="both"/>
      </w:pPr>
      <w:r w:rsidRPr="00E450E1">
        <w:t>ARTÍCULO 287.- Multas relativas al control de contribución privada</w:t>
      </w:r>
    </w:p>
    <w:p w14:paraId="705FCB84" w14:textId="77777777" w:rsidR="00E450E1" w:rsidRPr="00E450E1" w:rsidRDefault="00E450E1" w:rsidP="00E450E1">
      <w:pPr>
        <w:jc w:val="both"/>
      </w:pPr>
      <w:r w:rsidRPr="00E450E1">
        <w:t>Se impondrá multa de dos a diez salarios base:</w:t>
      </w:r>
    </w:p>
    <w:p w14:paraId="4DCB1021" w14:textId="77777777" w:rsidR="00E450E1" w:rsidRPr="00E450E1" w:rsidRDefault="00E450E1" w:rsidP="00E450E1">
      <w:pPr>
        <w:jc w:val="both"/>
      </w:pPr>
      <w:r w:rsidRPr="00E450E1">
        <w:t>a) Al partido que infrinja lo establecido en el artículo 88 de este Código.</w:t>
      </w:r>
    </w:p>
    <w:p w14:paraId="6AD59168" w14:textId="77777777" w:rsidR="00E450E1" w:rsidRPr="00E450E1" w:rsidRDefault="00E450E1" w:rsidP="00E450E1">
      <w:pPr>
        <w:jc w:val="both"/>
      </w:pPr>
      <w:r w:rsidRPr="00E450E1">
        <w:t>b) Al partido político que infrinja lo establecido en el artículo 122 de este Código.</w:t>
      </w:r>
    </w:p>
    <w:p w14:paraId="3F21503C" w14:textId="77777777" w:rsidR="00E450E1" w:rsidRPr="00E450E1" w:rsidRDefault="00E450E1" w:rsidP="00E450E1">
      <w:pPr>
        <w:jc w:val="both"/>
      </w:pPr>
      <w:r w:rsidRPr="00E450E1">
        <w:t>c) Al encargado de finanzas de las precandidaturas o candidaturas oficializadas que incumpla lo establecido en el artículo 127 de este Código.</w:t>
      </w:r>
    </w:p>
    <w:p w14:paraId="07743754" w14:textId="77777777" w:rsidR="00E450E1" w:rsidRPr="00E450E1" w:rsidRDefault="00E450E1" w:rsidP="00E450E1">
      <w:pPr>
        <w:jc w:val="both"/>
      </w:pPr>
      <w:r w:rsidRPr="00E450E1">
        <w:t>d) Al banco que administre la cuenta bancaria única del partido político que incumpla las obligaciones contenidas en el artículo 122 de este Código.</w:t>
      </w:r>
    </w:p>
    <w:p w14:paraId="107B3E07" w14:textId="77777777" w:rsidR="00E450E1" w:rsidRPr="00E450E1" w:rsidRDefault="00E450E1" w:rsidP="00E450E1">
      <w:pPr>
        <w:jc w:val="both"/>
      </w:pPr>
    </w:p>
    <w:p w14:paraId="630741F9" w14:textId="77777777" w:rsidR="00E450E1" w:rsidRPr="00E450E1" w:rsidRDefault="00E450E1" w:rsidP="00E450E1">
      <w:pPr>
        <w:jc w:val="both"/>
      </w:pPr>
    </w:p>
    <w:p w14:paraId="287AC679" w14:textId="77777777" w:rsidR="00E450E1" w:rsidRPr="00E450E1" w:rsidRDefault="00E450E1" w:rsidP="00E450E1">
      <w:pPr>
        <w:jc w:val="both"/>
      </w:pPr>
    </w:p>
    <w:p w14:paraId="26A56665" w14:textId="77777777" w:rsidR="00E450E1" w:rsidRPr="00E450E1" w:rsidRDefault="00E450E1" w:rsidP="00E450E1">
      <w:pPr>
        <w:jc w:val="both"/>
      </w:pPr>
      <w:r w:rsidRPr="00E450E1">
        <w:lastRenderedPageBreak/>
        <w:t>ARTÍCULO 288.- Multas por el recibo de contribuciones irregulares. Se impondrá multa equivalente al doble del monto recibido por una contribución irregular:</w:t>
      </w:r>
    </w:p>
    <w:p w14:paraId="5B1EC556" w14:textId="77777777" w:rsidR="00E450E1" w:rsidRPr="00E450E1" w:rsidRDefault="00E450E1" w:rsidP="00E450E1">
      <w:pPr>
        <w:jc w:val="both"/>
      </w:pPr>
      <w:r w:rsidRPr="00E450E1">
        <w:t>a) Al partido político que reciba contribuciones infringiendo el artículo 123 de este Código.</w:t>
      </w:r>
    </w:p>
    <w:p w14:paraId="6F4889C0" w14:textId="77777777" w:rsidR="00E450E1" w:rsidRPr="00E450E1" w:rsidRDefault="00E450E1" w:rsidP="00E450E1">
      <w:pPr>
        <w:jc w:val="both"/>
      </w:pPr>
      <w:r w:rsidRPr="00E450E1">
        <w:t>b) Al partido político que reciba contribuciones, donaciones o cualquier otro tipo de aporte en contravención del artículo 129 de este Código.</w:t>
      </w:r>
    </w:p>
    <w:p w14:paraId="327308A5" w14:textId="77777777" w:rsidR="00E450E1" w:rsidRPr="00E450E1" w:rsidRDefault="00E450E1" w:rsidP="00E450E1">
      <w:pPr>
        <w:jc w:val="both"/>
      </w:pPr>
      <w:r w:rsidRPr="00E450E1">
        <w:t>c) Al partido político que reciba contribuciones en contravención del artículo 128 de este Código.</w:t>
      </w:r>
    </w:p>
    <w:p w14:paraId="0EAC1383" w14:textId="77777777" w:rsidR="00E450E1" w:rsidRPr="00E450E1" w:rsidRDefault="00E450E1" w:rsidP="00E450E1">
      <w:pPr>
        <w:jc w:val="both"/>
      </w:pPr>
    </w:p>
    <w:p w14:paraId="7A753AA4" w14:textId="77777777" w:rsidR="00E450E1" w:rsidRPr="00E450E1" w:rsidRDefault="00E450E1" w:rsidP="00E450E1">
      <w:pPr>
        <w:jc w:val="both"/>
      </w:pPr>
      <w:r w:rsidRPr="00E450E1">
        <w:t>ARTÍCULO 289. Multas por la difusión ilegal de propaganda y resultados de encuestas de opinión</w:t>
      </w:r>
    </w:p>
    <w:p w14:paraId="60C09C06" w14:textId="77777777" w:rsidR="00E450E1" w:rsidRPr="00E450E1" w:rsidRDefault="00E450E1" w:rsidP="00E450E1">
      <w:pPr>
        <w:jc w:val="both"/>
      </w:pPr>
      <w:r w:rsidRPr="00E450E1">
        <w:t>Se impondrá multa de diez a cincuenta salarios base:</w:t>
      </w:r>
    </w:p>
    <w:p w14:paraId="7892046E" w14:textId="77777777" w:rsidR="00E450E1" w:rsidRPr="00E450E1" w:rsidRDefault="00E450E1" w:rsidP="00E450E1">
      <w:pPr>
        <w:jc w:val="both"/>
      </w:pPr>
      <w:r w:rsidRPr="00E450E1">
        <w:t>a) A las personas físicas o jurídicas públicas o privadas que incumplan lo establecido en los artículos 136, 138 y 140 de este Código, siempre y cuando la conducta no esté sancionada como delito en este mismo Código.</w:t>
      </w:r>
    </w:p>
    <w:p w14:paraId="64BC43ED" w14:textId="77777777" w:rsidR="00E450E1" w:rsidRPr="00E450E1" w:rsidRDefault="00E450E1" w:rsidP="00E450E1">
      <w:pPr>
        <w:jc w:val="both"/>
      </w:pPr>
      <w:r w:rsidRPr="00E450E1">
        <w:t>b) Al partido político o a la persona física o jurídica que contrate propaganda electoral en medios de comunicación para ser publicada durante la veda publicitaria.</w:t>
      </w:r>
    </w:p>
    <w:p w14:paraId="19967DE3" w14:textId="77777777" w:rsidR="00E450E1" w:rsidRPr="00E450E1" w:rsidRDefault="00E450E1" w:rsidP="00E450E1">
      <w:pPr>
        <w:jc w:val="both"/>
      </w:pPr>
    </w:p>
    <w:p w14:paraId="3D683519" w14:textId="77777777" w:rsidR="00E450E1" w:rsidRPr="00E450E1" w:rsidRDefault="00E450E1" w:rsidP="00E450E1">
      <w:pPr>
        <w:jc w:val="both"/>
      </w:pPr>
      <w:r w:rsidRPr="00E450E1">
        <w:t>ARTÍCULO 290. Multas relativas al funcionamiento de las juntas electorales</w:t>
      </w:r>
    </w:p>
    <w:p w14:paraId="4CC56EDA" w14:textId="77777777" w:rsidR="00E450E1" w:rsidRPr="00E450E1" w:rsidRDefault="00E450E1" w:rsidP="00E450E1">
      <w:pPr>
        <w:jc w:val="both"/>
      </w:pPr>
      <w:r w:rsidRPr="00E450E1">
        <w:t>Se impondrá multa de dos a diez salarios base:</w:t>
      </w:r>
    </w:p>
    <w:p w14:paraId="43C4F954" w14:textId="77777777" w:rsidR="00E450E1" w:rsidRPr="00E450E1" w:rsidRDefault="00E450E1" w:rsidP="00E450E1">
      <w:pPr>
        <w:jc w:val="both"/>
      </w:pPr>
      <w:r w:rsidRPr="00E450E1">
        <w:t>a) Al miembro de una junta electoral que se presente armado o en estado de ebriedad o bajo el efecto de drogas ilícitas al local donde funciona el organismo electoral, o a quien sea remiso a cumplir el cargo asignado, sin perjuicio de las responsabilidades establecidas en la Ley de armas y explosivos, Ley N.º 7530, de 10 de julio de 1995, y sus reformas.</w:t>
      </w:r>
    </w:p>
    <w:p w14:paraId="73965E3C" w14:textId="77777777" w:rsidR="00E450E1" w:rsidRPr="00E450E1" w:rsidRDefault="00E450E1" w:rsidP="00E450E1">
      <w:pPr>
        <w:jc w:val="both"/>
      </w:pPr>
      <w:r w:rsidRPr="00E450E1">
        <w:t>b) Al miembro de junta electoral que, de manera injustificada, no asista a sus sesiones.</w:t>
      </w:r>
    </w:p>
    <w:p w14:paraId="4188A918" w14:textId="77777777" w:rsidR="00E450E1" w:rsidRPr="00E450E1" w:rsidRDefault="00E450E1" w:rsidP="00E450E1">
      <w:pPr>
        <w:jc w:val="both"/>
      </w:pPr>
      <w:r w:rsidRPr="00E450E1">
        <w:t>c) A quien durante el día de las elecciones enajene, en cualquier forma, su cédula de identidad y a quien, sin justificación, tenga en su poder la de otras personas.</w:t>
      </w:r>
    </w:p>
    <w:p w14:paraId="490ECC8E" w14:textId="77777777" w:rsidR="00E450E1" w:rsidRPr="00E450E1" w:rsidRDefault="00E450E1" w:rsidP="00E450E1">
      <w:pPr>
        <w:jc w:val="both"/>
      </w:pPr>
      <w:r w:rsidRPr="00E450E1">
        <w:t>d) A quien ilegítimamente permanezca en el local electoral.</w:t>
      </w:r>
    </w:p>
    <w:p w14:paraId="16370E71" w14:textId="77777777" w:rsidR="00E450E1" w:rsidRPr="00E450E1" w:rsidRDefault="00E450E1" w:rsidP="00E450E1">
      <w:pPr>
        <w:jc w:val="both"/>
      </w:pPr>
      <w:r w:rsidRPr="00E450E1">
        <w:t>e) A quien durante el día de las elecciones obstaculice en cualquier forma el acceso a los locales de votación a las personas con discapacidad, a los adultos mayores y a las personas con movilidad reducida.</w:t>
      </w:r>
    </w:p>
    <w:p w14:paraId="042432CB" w14:textId="77777777" w:rsidR="00E450E1" w:rsidRDefault="00E450E1" w:rsidP="00E450E1">
      <w:pPr>
        <w:jc w:val="both"/>
      </w:pPr>
    </w:p>
    <w:p w14:paraId="73BDA54D" w14:textId="77777777" w:rsidR="00E450E1" w:rsidRDefault="00E450E1" w:rsidP="00E450E1">
      <w:pPr>
        <w:jc w:val="both"/>
      </w:pPr>
    </w:p>
    <w:p w14:paraId="142BAACB" w14:textId="77777777" w:rsidR="00E450E1" w:rsidRPr="00E450E1" w:rsidRDefault="00E450E1" w:rsidP="00E450E1">
      <w:pPr>
        <w:jc w:val="both"/>
      </w:pPr>
    </w:p>
    <w:p w14:paraId="7BBD5728" w14:textId="77777777" w:rsidR="00E450E1" w:rsidRPr="00E450E1" w:rsidRDefault="00E450E1" w:rsidP="00E450E1">
      <w:pPr>
        <w:jc w:val="both"/>
      </w:pPr>
      <w:r w:rsidRPr="00E450E1">
        <w:t>ARTÍCULO 291.- Multas por prácticas indebidas de proselitismo electoral</w:t>
      </w:r>
    </w:p>
    <w:p w14:paraId="0D81776E" w14:textId="77777777" w:rsidR="00E450E1" w:rsidRPr="00E450E1" w:rsidRDefault="00E450E1" w:rsidP="00E450E1">
      <w:pPr>
        <w:jc w:val="both"/>
      </w:pPr>
      <w:r w:rsidRPr="00E450E1">
        <w:t>Se impondrá multa de dos a cinco salarios base:</w:t>
      </w:r>
    </w:p>
    <w:p w14:paraId="707E1B8A" w14:textId="77777777" w:rsidR="00E450E1" w:rsidRPr="00E450E1" w:rsidRDefault="00E450E1" w:rsidP="00E450E1">
      <w:pPr>
        <w:jc w:val="both"/>
      </w:pPr>
      <w:r w:rsidRPr="00E450E1">
        <w:t>a) A quien, habiendo sido autorizado por el Tribunal para colocar propaganda en lugares específicos con ocasión de una actividad, no la retire inmediatamente finalizada dicha actividad.</w:t>
      </w:r>
    </w:p>
    <w:p w14:paraId="4BF03DAD" w14:textId="77777777" w:rsidR="00E450E1" w:rsidRPr="00E450E1" w:rsidRDefault="00E450E1" w:rsidP="00E450E1">
      <w:pPr>
        <w:jc w:val="both"/>
      </w:pPr>
      <w:r w:rsidRPr="00E450E1">
        <w:t xml:space="preserve">b) A quien desobedezca las normas vigentes sobre reuniones, </w:t>
      </w:r>
      <w:proofErr w:type="spellStart"/>
      <w:r w:rsidRPr="00E450E1">
        <w:t>mitines</w:t>
      </w:r>
      <w:proofErr w:type="spellEnd"/>
      <w:r w:rsidRPr="00E450E1">
        <w:t xml:space="preserve"> y desfiles, o las disposiciones de los delegados del TSE.</w:t>
      </w:r>
    </w:p>
    <w:p w14:paraId="57D4B573" w14:textId="77777777" w:rsidR="00E450E1" w:rsidRPr="00E450E1" w:rsidRDefault="00E450E1" w:rsidP="00E450E1">
      <w:pPr>
        <w:jc w:val="both"/>
      </w:pPr>
    </w:p>
    <w:p w14:paraId="1641D7D1" w14:textId="77777777" w:rsidR="00E450E1" w:rsidRPr="00E450E1" w:rsidRDefault="00E450E1" w:rsidP="00E450E1">
      <w:pPr>
        <w:jc w:val="both"/>
      </w:pPr>
      <w:r w:rsidRPr="00E450E1">
        <w:t>ARTÍCULO 292.- Multas al patrono que obstaculice el ejercicio del sufragio a sus trabajadores(as)</w:t>
      </w:r>
    </w:p>
    <w:p w14:paraId="3620E002" w14:textId="7D50A332" w:rsidR="00E450E1" w:rsidRPr="00E450E1" w:rsidRDefault="00E450E1" w:rsidP="00E450E1">
      <w:pPr>
        <w:jc w:val="both"/>
      </w:pPr>
      <w:r w:rsidRPr="00E450E1">
        <w:t>Se impondrá multa de dos a cinco salarios base al patrono que, incumpliendo la obligación establecida en el inciso j) del artículo 69 del Código de Trabajo, impida a sus trabajadores(as) o empleados(as) ausentarse de su trabajo el día de las elecciones durante el tiempo prudencial para emitir el voto, o que en virtud de ello les aplique alguna sanción o les reduzca el salario.</w:t>
      </w:r>
    </w:p>
    <w:p w14:paraId="544CD11F" w14:textId="77777777" w:rsidR="00E450E1" w:rsidRPr="00E450E1" w:rsidRDefault="00E450E1" w:rsidP="00E450E1">
      <w:pPr>
        <w:jc w:val="both"/>
      </w:pPr>
    </w:p>
    <w:p w14:paraId="21FF6669" w14:textId="77777777" w:rsidR="00E450E1" w:rsidRPr="00E450E1" w:rsidRDefault="00E450E1" w:rsidP="00E450E1">
      <w:pPr>
        <w:jc w:val="both"/>
      </w:pPr>
      <w:r w:rsidRPr="00E450E1">
        <w:t xml:space="preserve">ARTÍCULO 293.- Multas por el incumplimiento de deberes </w:t>
      </w:r>
      <w:proofErr w:type="spellStart"/>
      <w:r w:rsidRPr="00E450E1">
        <w:t>del</w:t>
      </w:r>
      <w:proofErr w:type="spellEnd"/>
      <w:r w:rsidRPr="00E450E1">
        <w:t xml:space="preserve"> funcionario público</w:t>
      </w:r>
    </w:p>
    <w:p w14:paraId="6364D8B2" w14:textId="77777777" w:rsidR="00E450E1" w:rsidRPr="00E450E1" w:rsidRDefault="00E450E1" w:rsidP="00E450E1">
      <w:pPr>
        <w:jc w:val="both"/>
      </w:pPr>
      <w:r w:rsidRPr="00E450E1">
        <w:t>Se impondrá multa de dos a cinco salarios base, al funcionario público que se niegue injustificadamente a rendir informes y dar atestados, o extender certificados o comprobantes, o atrase, sin motivo alguno, la entrega de esos documentos que requieran particulares o funcionarios públicos con fines electorales.</w:t>
      </w:r>
    </w:p>
    <w:p w14:paraId="35ED2626" w14:textId="77777777" w:rsidR="00E450E1" w:rsidRPr="00E450E1" w:rsidRDefault="00E450E1" w:rsidP="00E450E1">
      <w:pPr>
        <w:jc w:val="both"/>
      </w:pPr>
    </w:p>
    <w:p w14:paraId="65DD4796" w14:textId="77777777" w:rsidR="00E450E1" w:rsidRPr="00E450E1" w:rsidRDefault="00E450E1" w:rsidP="00E450E1">
      <w:pPr>
        <w:jc w:val="both"/>
      </w:pPr>
      <w:r w:rsidRPr="00E450E1">
        <w:t>ARTÍCULO 294.- Multas por la tenencia indebida de documentación electoral</w:t>
      </w:r>
    </w:p>
    <w:p w14:paraId="45B062F5" w14:textId="77777777" w:rsidR="00E450E1" w:rsidRPr="00E450E1" w:rsidRDefault="00E450E1" w:rsidP="00E450E1">
      <w:pPr>
        <w:jc w:val="both"/>
      </w:pPr>
      <w:r w:rsidRPr="00E450E1">
        <w:t>Se impondrá multa de diez a veinte salarios base:</w:t>
      </w:r>
    </w:p>
    <w:p w14:paraId="2776F423" w14:textId="77777777" w:rsidR="00E450E1" w:rsidRPr="00E450E1" w:rsidRDefault="00E450E1" w:rsidP="00E450E1">
      <w:pPr>
        <w:jc w:val="both"/>
      </w:pPr>
      <w:r w:rsidRPr="00E450E1">
        <w:t>a) A quien, sin justa causa, durante la campaña tenga en su poder papeletas electorales oficiales o, en cualquier momento, tenga en su poder una papeleta falsa.</w:t>
      </w:r>
    </w:p>
    <w:p w14:paraId="695893AB" w14:textId="77777777" w:rsidR="00E450E1" w:rsidRPr="00E450E1" w:rsidRDefault="00E450E1" w:rsidP="00E450E1">
      <w:pPr>
        <w:jc w:val="both"/>
      </w:pPr>
      <w:r w:rsidRPr="00E450E1">
        <w:t>b) A quien infrinja las obligaciones establecidas en los artículos 184 y 185 de este Código.</w:t>
      </w:r>
    </w:p>
    <w:p w14:paraId="326588EA" w14:textId="77777777" w:rsidR="00E450E1" w:rsidRPr="00E450E1" w:rsidRDefault="00E450E1" w:rsidP="00E450E1">
      <w:pPr>
        <w:jc w:val="both"/>
      </w:pPr>
    </w:p>
    <w:p w14:paraId="7C4258EA" w14:textId="77777777" w:rsidR="00E450E1" w:rsidRPr="00E450E1" w:rsidRDefault="00E450E1" w:rsidP="00E450E1">
      <w:pPr>
        <w:jc w:val="both"/>
      </w:pPr>
      <w:r w:rsidRPr="00E450E1">
        <w:t>ARTÍCULO 295.- Salario base</w:t>
      </w:r>
    </w:p>
    <w:p w14:paraId="1435A223" w14:textId="77777777" w:rsidR="00E450E1" w:rsidRPr="00E450E1" w:rsidRDefault="00E450E1" w:rsidP="00E450E1">
      <w:pPr>
        <w:jc w:val="both"/>
      </w:pPr>
      <w:r w:rsidRPr="00E450E1">
        <w:t xml:space="preserve">Para la aplicación de las multas se entenderá como salario base el establecido en la Ley </w:t>
      </w:r>
      <w:proofErr w:type="spellStart"/>
      <w:r w:rsidRPr="00E450E1">
        <w:t>N.°</w:t>
      </w:r>
      <w:proofErr w:type="spellEnd"/>
      <w:r w:rsidRPr="00E450E1">
        <w:t xml:space="preserve"> 7337, de 5 de mayo de 1993, y sus reformas.</w:t>
      </w:r>
    </w:p>
    <w:p w14:paraId="5982F642" w14:textId="77777777" w:rsidR="00E450E1" w:rsidRPr="00E450E1" w:rsidRDefault="00E450E1" w:rsidP="00E450E1">
      <w:pPr>
        <w:jc w:val="both"/>
      </w:pPr>
    </w:p>
    <w:p w14:paraId="102E14DA" w14:textId="77777777" w:rsidR="00E450E1" w:rsidRPr="00E450E1" w:rsidRDefault="00E450E1" w:rsidP="00E450E1">
      <w:pPr>
        <w:jc w:val="both"/>
      </w:pPr>
    </w:p>
    <w:p w14:paraId="52E29EA0" w14:textId="77777777" w:rsidR="00E450E1" w:rsidRPr="00E450E1" w:rsidRDefault="00E450E1" w:rsidP="00E450E1">
      <w:pPr>
        <w:jc w:val="both"/>
      </w:pPr>
    </w:p>
    <w:p w14:paraId="5AEC3923" w14:textId="77777777" w:rsidR="00E450E1" w:rsidRPr="00E450E1" w:rsidRDefault="00E450E1" w:rsidP="00E450E1">
      <w:pPr>
        <w:jc w:val="both"/>
      </w:pPr>
      <w:r w:rsidRPr="00E450E1">
        <w:t>ARTÍCULO 296.- Aplicación de multas</w:t>
      </w:r>
    </w:p>
    <w:p w14:paraId="6060E331" w14:textId="77777777" w:rsidR="00E450E1" w:rsidRPr="00E450E1" w:rsidRDefault="00E450E1" w:rsidP="00E450E1">
      <w:pPr>
        <w:jc w:val="both"/>
      </w:pPr>
      <w:r w:rsidRPr="00E450E1">
        <w:t>El TSE será el encargado de aplicar las multas por las faltas electorales reguladas en este Código, por medio de la Dirección de Financiamiento de Partidos Políticos, cuyas decisiones serán revisables ante el Tribunal.</w:t>
      </w:r>
    </w:p>
    <w:p w14:paraId="460BA1B7" w14:textId="77777777" w:rsidR="00E450E1" w:rsidRPr="00E450E1" w:rsidRDefault="00E450E1" w:rsidP="00E450E1">
      <w:pPr>
        <w:jc w:val="both"/>
      </w:pPr>
    </w:p>
    <w:p w14:paraId="4747BE00" w14:textId="77777777" w:rsidR="00E450E1" w:rsidRPr="00E450E1" w:rsidRDefault="00E450E1" w:rsidP="00E450E1">
      <w:pPr>
        <w:jc w:val="both"/>
      </w:pPr>
      <w:r w:rsidRPr="00E450E1">
        <w:t>ARTÍCULO 297.- Procedimiento administrativo para aplicar la multa</w:t>
      </w:r>
    </w:p>
    <w:p w14:paraId="3597DDCE" w14:textId="77777777" w:rsidR="00E450E1" w:rsidRPr="00E450E1" w:rsidRDefault="00E450E1" w:rsidP="00E450E1">
      <w:pPr>
        <w:jc w:val="both"/>
      </w:pPr>
      <w:r w:rsidRPr="00E450E1">
        <w:t>La determinación del hecho generador de la multa implicará la realización de un procedimiento administrativo ordinario a cargo de la Inspección Electoral, en el que se garantizará el debido proceso del presunto infractor.</w:t>
      </w:r>
    </w:p>
    <w:p w14:paraId="1E250772" w14:textId="77777777" w:rsidR="00E450E1" w:rsidRPr="00E450E1" w:rsidRDefault="00E450E1" w:rsidP="00E450E1">
      <w:pPr>
        <w:jc w:val="both"/>
      </w:pPr>
    </w:p>
    <w:p w14:paraId="3CD86128" w14:textId="77777777" w:rsidR="00E450E1" w:rsidRPr="00E450E1" w:rsidRDefault="00E450E1" w:rsidP="00E450E1">
      <w:pPr>
        <w:jc w:val="both"/>
      </w:pPr>
      <w:r w:rsidRPr="00E450E1">
        <w:t>ARTÍCULO 298.- Obligación de los bancos</w:t>
      </w:r>
    </w:p>
    <w:p w14:paraId="059AD51B" w14:textId="77777777" w:rsidR="00E450E1" w:rsidRPr="00E450E1" w:rsidRDefault="00E450E1" w:rsidP="00E450E1">
      <w:pPr>
        <w:jc w:val="both"/>
      </w:pPr>
      <w:r w:rsidRPr="00E450E1">
        <w:t>En caso de que se realice una contribución en contradicción con lo establecido en este Código, por medio de depósito o transferencia bancaria, el banco que reciba la contribución deberá congelar, de inmediato, los fondos e informar al TSE, el cual, de proceder, dispondrá la aplicación de multa y el depósito del dinero retenido por la entidad bancaria a favor de la cuenta única a nombre del TSE.</w:t>
      </w:r>
    </w:p>
    <w:p w14:paraId="7DD4F127" w14:textId="77777777" w:rsidR="00E450E1" w:rsidRPr="00E450E1" w:rsidRDefault="00E450E1" w:rsidP="00E450E1">
      <w:pPr>
        <w:jc w:val="both"/>
      </w:pPr>
    </w:p>
    <w:p w14:paraId="77AE5C48" w14:textId="77777777" w:rsidR="00E450E1" w:rsidRPr="00E450E1" w:rsidRDefault="00E450E1" w:rsidP="00E450E1">
      <w:pPr>
        <w:jc w:val="both"/>
      </w:pPr>
      <w:r w:rsidRPr="00E450E1">
        <w:t>ARTÍCULO 299.- Responsabilidad solidaria del partido político</w:t>
      </w:r>
    </w:p>
    <w:p w14:paraId="70AEA304" w14:textId="77777777" w:rsidR="00E450E1" w:rsidRPr="00E450E1" w:rsidRDefault="00E450E1" w:rsidP="00E450E1">
      <w:pPr>
        <w:jc w:val="both"/>
      </w:pPr>
      <w:r w:rsidRPr="00E450E1">
        <w:t>Cuando se imponga pena de multa a algún miembro de un órgano partidario, por conducta en el ejercicio de su cargo en el partido, ello acarreará responsabilidad civil solidaria de la respectiva agrupación política.</w:t>
      </w:r>
    </w:p>
    <w:p w14:paraId="2DAD9C7B" w14:textId="03C301F0" w:rsidR="00E450E1" w:rsidRPr="00E450E1" w:rsidRDefault="00E450E1" w:rsidP="00E450E1">
      <w:pPr>
        <w:jc w:val="both"/>
      </w:pPr>
    </w:p>
    <w:p w14:paraId="74393125" w14:textId="77777777" w:rsidR="00E450E1" w:rsidRPr="00E450E1" w:rsidRDefault="00E450E1" w:rsidP="00E450E1">
      <w:pPr>
        <w:jc w:val="both"/>
      </w:pPr>
      <w:r w:rsidRPr="00E450E1">
        <w:t>ARTÍCULO 300.- Posibilidad de retención de contribución estatal</w:t>
      </w:r>
    </w:p>
    <w:p w14:paraId="25BF5753" w14:textId="77777777" w:rsidR="00E450E1" w:rsidRPr="00E450E1" w:rsidRDefault="00E450E1" w:rsidP="00E450E1">
      <w:pPr>
        <w:jc w:val="both"/>
      </w:pPr>
      <w:r w:rsidRPr="00E450E1">
        <w:t>Cuando un partido político con derecho a la contribución estatal deba responder por las multas establecidas en este capítulo, el Tribunal podrá ordenar la retención hasta de un cinco por ciento (5%) del monto reconocido, mientras no se cancele la multa.</w:t>
      </w:r>
    </w:p>
    <w:p w14:paraId="21343FFE" w14:textId="77777777" w:rsidR="00E450E1" w:rsidRPr="00E450E1" w:rsidRDefault="00E450E1" w:rsidP="00E450E1">
      <w:pPr>
        <w:jc w:val="both"/>
      </w:pPr>
    </w:p>
    <w:p w14:paraId="6C87B3A2" w14:textId="77777777" w:rsidR="00E450E1" w:rsidRPr="00E450E1" w:rsidRDefault="00E450E1" w:rsidP="00E450E1">
      <w:pPr>
        <w:jc w:val="both"/>
      </w:pPr>
      <w:r w:rsidRPr="00E450E1">
        <w:t>ARTÍCULO 301.- Destino del dinero proveniente de las multas</w:t>
      </w:r>
    </w:p>
    <w:p w14:paraId="16A51FF8" w14:textId="77777777" w:rsidR="00E450E1" w:rsidRPr="00E450E1" w:rsidRDefault="00E450E1" w:rsidP="00E450E1">
      <w:pPr>
        <w:jc w:val="both"/>
      </w:pPr>
      <w:r w:rsidRPr="00E450E1">
        <w:t xml:space="preserve">El dinero proveniente de las multas que se ejecuten se </w:t>
      </w:r>
      <w:proofErr w:type="gramStart"/>
      <w:r w:rsidRPr="00E450E1">
        <w:t>depositarán</w:t>
      </w:r>
      <w:proofErr w:type="gramEnd"/>
      <w:r w:rsidRPr="00E450E1">
        <w:t xml:space="preserve"> en la cuenta de caja única del TSE.</w:t>
      </w:r>
    </w:p>
    <w:p w14:paraId="7A3EC28A" w14:textId="77777777" w:rsidR="00E450E1" w:rsidRPr="00E450E1" w:rsidRDefault="00E450E1" w:rsidP="00E450E1">
      <w:pPr>
        <w:jc w:val="both"/>
      </w:pPr>
    </w:p>
    <w:p w14:paraId="54BA269C" w14:textId="77777777" w:rsidR="00E450E1" w:rsidRPr="00E450E1" w:rsidRDefault="00E450E1" w:rsidP="00E450E1">
      <w:pPr>
        <w:jc w:val="both"/>
      </w:pPr>
    </w:p>
    <w:p w14:paraId="04681FE4" w14:textId="77777777" w:rsidR="00E450E1" w:rsidRPr="00E450E1" w:rsidRDefault="00E450E1" w:rsidP="00E450E1">
      <w:pPr>
        <w:jc w:val="both"/>
      </w:pPr>
    </w:p>
    <w:p w14:paraId="299C32EA" w14:textId="77777777" w:rsidR="00E450E1" w:rsidRPr="00E450E1" w:rsidRDefault="00E450E1" w:rsidP="00E450E1">
      <w:pPr>
        <w:jc w:val="both"/>
      </w:pPr>
      <w:r w:rsidRPr="00E450E1">
        <w:t>ARTÍCULO 302.- Multas relativas al uso de propaganda en lugares públicos</w:t>
      </w:r>
    </w:p>
    <w:p w14:paraId="514C8E56" w14:textId="429671C6" w:rsidR="00BC3E09" w:rsidRDefault="00E450E1" w:rsidP="00E450E1">
      <w:pPr>
        <w:jc w:val="both"/>
      </w:pPr>
      <w:r w:rsidRPr="00E450E1">
        <w:t>Se impondrá multa de uno a cinco salarios base, a quien lance o coloque propaganda electoral en las vías o lugares públicos, así como en el mobiliario urbano.</w:t>
      </w:r>
    </w:p>
    <w:p w14:paraId="12D3D536" w14:textId="2AA8B5E0" w:rsidR="00BC3E09" w:rsidRDefault="00BC3E09" w:rsidP="00BC3E09">
      <w:pPr>
        <w:jc w:val="both"/>
      </w:pPr>
    </w:p>
    <w:sectPr w:rsidR="00BC3E0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E09"/>
    <w:rsid w:val="003B64B7"/>
    <w:rsid w:val="008A3AA2"/>
    <w:rsid w:val="00A730D5"/>
    <w:rsid w:val="00BC3E09"/>
    <w:rsid w:val="00D4595B"/>
    <w:rsid w:val="00E450E1"/>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E5AA"/>
  <w15:chartTrackingRefBased/>
  <w15:docId w15:val="{C4E0C840-C363-4ADE-8DDB-7191E664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C3E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C3E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C3E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C3E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C3E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C3E0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C3E0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C3E0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C3E0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C3E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C3E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C3E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C3E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C3E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C3E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C3E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C3E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C3E09"/>
    <w:rPr>
      <w:rFonts w:eastAsiaTheme="majorEastAsia" w:cstheme="majorBidi"/>
      <w:color w:val="272727" w:themeColor="text1" w:themeTint="D8"/>
    </w:rPr>
  </w:style>
  <w:style w:type="paragraph" w:styleId="Ttulo">
    <w:name w:val="Title"/>
    <w:basedOn w:val="Normal"/>
    <w:next w:val="Normal"/>
    <w:link w:val="TtuloCar"/>
    <w:uiPriority w:val="10"/>
    <w:qFormat/>
    <w:rsid w:val="00BC3E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C3E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C3E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C3E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C3E09"/>
    <w:pPr>
      <w:spacing w:before="160"/>
      <w:jc w:val="center"/>
    </w:pPr>
    <w:rPr>
      <w:i/>
      <w:iCs/>
      <w:color w:val="404040" w:themeColor="text1" w:themeTint="BF"/>
    </w:rPr>
  </w:style>
  <w:style w:type="character" w:customStyle="1" w:styleId="CitaCar">
    <w:name w:val="Cita Car"/>
    <w:basedOn w:val="Fuentedeprrafopredeter"/>
    <w:link w:val="Cita"/>
    <w:uiPriority w:val="29"/>
    <w:rsid w:val="00BC3E09"/>
    <w:rPr>
      <w:i/>
      <w:iCs/>
      <w:color w:val="404040" w:themeColor="text1" w:themeTint="BF"/>
    </w:rPr>
  </w:style>
  <w:style w:type="paragraph" w:styleId="Prrafodelista">
    <w:name w:val="List Paragraph"/>
    <w:basedOn w:val="Normal"/>
    <w:uiPriority w:val="34"/>
    <w:qFormat/>
    <w:rsid w:val="00BC3E09"/>
    <w:pPr>
      <w:ind w:left="720"/>
      <w:contextualSpacing/>
    </w:pPr>
  </w:style>
  <w:style w:type="character" w:styleId="nfasisintenso">
    <w:name w:val="Intense Emphasis"/>
    <w:basedOn w:val="Fuentedeprrafopredeter"/>
    <w:uiPriority w:val="21"/>
    <w:qFormat/>
    <w:rsid w:val="00BC3E09"/>
    <w:rPr>
      <w:i/>
      <w:iCs/>
      <w:color w:val="0F4761" w:themeColor="accent1" w:themeShade="BF"/>
    </w:rPr>
  </w:style>
  <w:style w:type="paragraph" w:styleId="Citadestacada">
    <w:name w:val="Intense Quote"/>
    <w:basedOn w:val="Normal"/>
    <w:next w:val="Normal"/>
    <w:link w:val="CitadestacadaCar"/>
    <w:uiPriority w:val="30"/>
    <w:qFormat/>
    <w:rsid w:val="00BC3E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C3E09"/>
    <w:rPr>
      <w:i/>
      <w:iCs/>
      <w:color w:val="0F4761" w:themeColor="accent1" w:themeShade="BF"/>
    </w:rPr>
  </w:style>
  <w:style w:type="character" w:styleId="Referenciaintensa">
    <w:name w:val="Intense Reference"/>
    <w:basedOn w:val="Fuentedeprrafopredeter"/>
    <w:uiPriority w:val="32"/>
    <w:qFormat/>
    <w:rsid w:val="00BC3E09"/>
    <w:rPr>
      <w:b/>
      <w:bCs/>
      <w:smallCaps/>
      <w:color w:val="0F4761" w:themeColor="accent1" w:themeShade="BF"/>
      <w:spacing w:val="5"/>
    </w:rPr>
  </w:style>
  <w:style w:type="character" w:styleId="Hipervnculo">
    <w:name w:val="Hyperlink"/>
    <w:basedOn w:val="Fuentedeprrafopredeter"/>
    <w:uiPriority w:val="99"/>
    <w:unhideWhenUsed/>
    <w:rsid w:val="00BC3E09"/>
    <w:rPr>
      <w:color w:val="467886" w:themeColor="hyperlink"/>
      <w:u w:val="single"/>
    </w:rPr>
  </w:style>
  <w:style w:type="character" w:styleId="Mencinsinresolver">
    <w:name w:val="Unresolved Mention"/>
    <w:basedOn w:val="Fuentedeprrafopredeter"/>
    <w:uiPriority w:val="99"/>
    <w:semiHidden/>
    <w:unhideWhenUsed/>
    <w:rsid w:val="00BC3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4462">
      <w:bodyDiv w:val="1"/>
      <w:marLeft w:val="0"/>
      <w:marRight w:val="0"/>
      <w:marTop w:val="0"/>
      <w:marBottom w:val="0"/>
      <w:divBdr>
        <w:top w:val="none" w:sz="0" w:space="0" w:color="auto"/>
        <w:left w:val="none" w:sz="0" w:space="0" w:color="auto"/>
        <w:bottom w:val="none" w:sz="0" w:space="0" w:color="auto"/>
        <w:right w:val="none" w:sz="0" w:space="0" w:color="auto"/>
      </w:divBdr>
      <w:divsChild>
        <w:div w:id="491486931">
          <w:marLeft w:val="0"/>
          <w:marRight w:val="0"/>
          <w:marTop w:val="0"/>
          <w:marBottom w:val="0"/>
          <w:divBdr>
            <w:top w:val="none" w:sz="0" w:space="0" w:color="auto"/>
            <w:left w:val="none" w:sz="0" w:space="0" w:color="auto"/>
            <w:bottom w:val="none" w:sz="0" w:space="0" w:color="auto"/>
            <w:right w:val="none" w:sz="0" w:space="0" w:color="auto"/>
          </w:divBdr>
        </w:div>
      </w:divsChild>
    </w:div>
    <w:div w:id="42142608">
      <w:bodyDiv w:val="1"/>
      <w:marLeft w:val="0"/>
      <w:marRight w:val="0"/>
      <w:marTop w:val="0"/>
      <w:marBottom w:val="0"/>
      <w:divBdr>
        <w:top w:val="none" w:sz="0" w:space="0" w:color="auto"/>
        <w:left w:val="none" w:sz="0" w:space="0" w:color="auto"/>
        <w:bottom w:val="none" w:sz="0" w:space="0" w:color="auto"/>
        <w:right w:val="none" w:sz="0" w:space="0" w:color="auto"/>
      </w:divBdr>
    </w:div>
    <w:div w:id="163593434">
      <w:bodyDiv w:val="1"/>
      <w:marLeft w:val="0"/>
      <w:marRight w:val="0"/>
      <w:marTop w:val="0"/>
      <w:marBottom w:val="0"/>
      <w:divBdr>
        <w:top w:val="none" w:sz="0" w:space="0" w:color="auto"/>
        <w:left w:val="none" w:sz="0" w:space="0" w:color="auto"/>
        <w:bottom w:val="none" w:sz="0" w:space="0" w:color="auto"/>
        <w:right w:val="none" w:sz="0" w:space="0" w:color="auto"/>
      </w:divBdr>
    </w:div>
    <w:div w:id="1467771049">
      <w:bodyDiv w:val="1"/>
      <w:marLeft w:val="0"/>
      <w:marRight w:val="0"/>
      <w:marTop w:val="0"/>
      <w:marBottom w:val="0"/>
      <w:divBdr>
        <w:top w:val="none" w:sz="0" w:space="0" w:color="auto"/>
        <w:left w:val="none" w:sz="0" w:space="0" w:color="auto"/>
        <w:bottom w:val="none" w:sz="0" w:space="0" w:color="auto"/>
        <w:right w:val="none" w:sz="0" w:space="0" w:color="auto"/>
      </w:divBdr>
      <w:divsChild>
        <w:div w:id="745342718">
          <w:marLeft w:val="0"/>
          <w:marRight w:val="0"/>
          <w:marTop w:val="0"/>
          <w:marBottom w:val="0"/>
          <w:divBdr>
            <w:top w:val="none" w:sz="0" w:space="0" w:color="auto"/>
            <w:left w:val="none" w:sz="0" w:space="0" w:color="auto"/>
            <w:bottom w:val="none" w:sz="0" w:space="0" w:color="auto"/>
            <w:right w:val="none" w:sz="0" w:space="0" w:color="auto"/>
          </w:divBdr>
        </w:div>
      </w:divsChild>
    </w:div>
    <w:div w:id="1636138158">
      <w:bodyDiv w:val="1"/>
      <w:marLeft w:val="0"/>
      <w:marRight w:val="0"/>
      <w:marTop w:val="0"/>
      <w:marBottom w:val="0"/>
      <w:divBdr>
        <w:top w:val="none" w:sz="0" w:space="0" w:color="auto"/>
        <w:left w:val="none" w:sz="0" w:space="0" w:color="auto"/>
        <w:bottom w:val="none" w:sz="0" w:space="0" w:color="auto"/>
        <w:right w:val="none" w:sz="0" w:space="0" w:color="auto"/>
      </w:divBdr>
      <w:divsChild>
        <w:div w:id="1915429613">
          <w:marLeft w:val="0"/>
          <w:marRight w:val="0"/>
          <w:marTop w:val="0"/>
          <w:marBottom w:val="0"/>
          <w:divBdr>
            <w:top w:val="none" w:sz="0" w:space="0" w:color="auto"/>
            <w:left w:val="none" w:sz="0" w:space="0" w:color="auto"/>
            <w:bottom w:val="none" w:sz="0" w:space="0" w:color="auto"/>
            <w:right w:val="none" w:sz="0" w:space="0" w:color="auto"/>
          </w:divBdr>
        </w:div>
        <w:div w:id="1575701709">
          <w:marLeft w:val="0"/>
          <w:marRight w:val="0"/>
          <w:marTop w:val="0"/>
          <w:marBottom w:val="0"/>
          <w:divBdr>
            <w:top w:val="none" w:sz="0" w:space="0" w:color="auto"/>
            <w:left w:val="none" w:sz="0" w:space="0" w:color="auto"/>
            <w:bottom w:val="none" w:sz="0" w:space="0" w:color="auto"/>
            <w:right w:val="none" w:sz="0" w:space="0" w:color="auto"/>
          </w:divBdr>
        </w:div>
        <w:div w:id="1906142198">
          <w:marLeft w:val="0"/>
          <w:marRight w:val="0"/>
          <w:marTop w:val="0"/>
          <w:marBottom w:val="0"/>
          <w:divBdr>
            <w:top w:val="none" w:sz="0" w:space="0" w:color="auto"/>
            <w:left w:val="none" w:sz="0" w:space="0" w:color="auto"/>
            <w:bottom w:val="none" w:sz="0" w:space="0" w:color="auto"/>
            <w:right w:val="none" w:sz="0" w:space="0" w:color="auto"/>
          </w:divBdr>
        </w:div>
        <w:div w:id="1445073756">
          <w:marLeft w:val="0"/>
          <w:marRight w:val="0"/>
          <w:marTop w:val="0"/>
          <w:marBottom w:val="0"/>
          <w:divBdr>
            <w:top w:val="none" w:sz="0" w:space="0" w:color="auto"/>
            <w:left w:val="none" w:sz="0" w:space="0" w:color="auto"/>
            <w:bottom w:val="none" w:sz="0" w:space="0" w:color="auto"/>
            <w:right w:val="none" w:sz="0" w:space="0" w:color="auto"/>
          </w:divBdr>
        </w:div>
        <w:div w:id="1226184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1220</Words>
  <Characters>6715</Characters>
  <Application>Microsoft Office Word</Application>
  <DocSecurity>0</DocSecurity>
  <Lines>55</Lines>
  <Paragraphs>15</Paragraphs>
  <ScaleCrop>false</ScaleCrop>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Kattia Ivannia Villalobos Molina</dc:creator>
  <cp:keywords/>
  <dc:description/>
  <cp:lastModifiedBy>Kattia Ivannia Villalobos Molina</cp:lastModifiedBy>
  <cp:revision>2</cp:revision>
  <dcterms:created xsi:type="dcterms:W3CDTF">2025-03-26T02:13:00Z</dcterms:created>
  <dcterms:modified xsi:type="dcterms:W3CDTF">2025-03-26T02:13:00Z</dcterms:modified>
</cp:coreProperties>
</file>